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Vzor</w:t>
      </w:r>
    </w:p>
    <w:p>
      <w:pPr>
        <w:pStyle w:val="Normal1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Články víry </w:t>
      </w:r>
    </w:p>
    <w:p>
      <w:pPr>
        <w:pStyle w:val="Normal1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PO Smečka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Víra: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 v prastarou sílu Propasti, z níž povstal řád devíti světů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 v existenci pohanských Bohů, jež od bdí nad kroky našeho lidu.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 v řád Matky Země jako nejvyšší a nejdokonalejší zákon.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Věříme, že nic se neděje nahodile a že ať učiníme cokoli, za vše budeme nést odpovědnost i v časech budoucích.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 v zásvětní život a v to, že smrt je jen přechodem do jiných světů či k jiným formám pokračování života na zemi.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Věříme v přirozenost a posvátnost Kola roku a slavíme jeho svátky jako momenty spojení s Bohy v rámci přirozeného cyklu Matky Země.</w:t>
      </w:r>
    </w:p>
    <w:p>
      <w:pPr>
        <w:pStyle w:val="Normal1"/>
        <w:numPr>
          <w:ilvl w:val="0"/>
          <w:numId w:val="2"/>
        </w:numPr>
        <w:ind w:left="720" w:hanging="360"/>
        <w:rPr/>
      </w:pPr>
      <w:r>
        <w:rPr/>
        <w:t>Věříme ve význam uctívání předků jako v jeden ze základních pilířů naší víry</w:t>
      </w:r>
    </w:p>
    <w:p>
      <w:pPr>
        <w:pStyle w:val="Normal1"/>
        <w:numPr>
          <w:ilvl w:val="0"/>
          <w:numId w:val="2"/>
        </w:numPr>
        <w:ind w:left="720" w:hanging="360"/>
        <w:rPr/>
      </w:pPr>
      <w:r>
        <w:rPr/>
        <w:t>Věříme, že jisté životní události jsou natolik významné, že je slavíme ve formě tzv.přechodového rituálu. V našem ritu jsou to tyto: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Narození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První přerod v ženu / přerod v muže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Přijetí do Smečky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Svatba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Narození dítěte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Přechod k Starším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Pohřeb</w:t>
      </w:r>
    </w:p>
    <w:p>
      <w:pPr>
        <w:pStyle w:val="Normal1"/>
        <w:ind w:left="0" w:hanging="0"/>
        <w:rPr/>
      </w:pPr>
      <w:r>
        <w:rPr/>
        <w:t>+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>Přijetí pohanské víry</w:t>
      </w:r>
    </w:p>
    <w:p>
      <w:pPr>
        <w:pStyle w:val="Normal1"/>
        <w:ind w:left="1440" w:hanging="0"/>
        <w:rPr/>
      </w:pPr>
      <w:r>
        <w:rPr/>
      </w:r>
    </w:p>
    <w:p>
      <w:pPr>
        <w:pStyle w:val="Normal1"/>
        <w:ind w:left="0" w:hanging="0"/>
        <w:rPr/>
      </w:pPr>
      <w:r>
        <w:rPr/>
        <w:t>Specifika věrouky Smečky</w:t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Navazujeme na náboženskou tradici našich germánských předků.</w:t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Věříme, že před Božstvy Řádu (známými jako Aesir a Vanir) se na vzniku a chodu světa podílely a podílejí i bytosti dalších světů Yggdrasilu. I tyto bytosti jsou předmětem našeho uctívání.</w:t>
      </w:r>
    </w:p>
    <w:p>
      <w:pPr>
        <w:pStyle w:val="Normal1"/>
        <w:numPr>
          <w:ilvl w:val="0"/>
          <w:numId w:val="1"/>
        </w:numPr>
        <w:spacing w:before="0" w:afterAutospacing="0" w:after="0"/>
        <w:ind w:left="720" w:hanging="360"/>
        <w:rPr>
          <w:u w:val="none"/>
        </w:rPr>
      </w:pPr>
      <w:r>
        <w:rPr/>
        <w:t>Věříme, že existuje osm světů a devátý je Midgard. Všechny tyto světy jsou nedílnou součástí stromu Yggdrasilu.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76" w:beforeAutospacing="0" w:before="0" w:afterAutospacing="0" w:after="0"/>
        <w:ind w:left="720" w:right="0" w:hanging="360"/>
        <w:jc w:val="left"/>
        <w:rPr>
          <w:u w:val="none"/>
        </w:rPr>
      </w:pPr>
      <w:r>
        <w:rPr/>
        <w:t>Věříme, že tyto světy jsou přístupné pro věřící skrze náboženské praktiky a obřady.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76" w:beforeAutospacing="0" w:before="0" w:afterAutospacing="0" w:after="0"/>
        <w:ind w:left="720" w:right="0" w:hanging="360"/>
        <w:jc w:val="left"/>
        <w:rPr>
          <w:u w:val="none"/>
        </w:rPr>
      </w:pPr>
      <w:r>
        <w:rPr/>
        <w:t>Věříme ve význam a sílu obětin.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76" w:beforeAutospacing="0" w:before="0" w:afterAutospacing="0" w:after="0"/>
        <w:ind w:left="720" w:right="0" w:hanging="360"/>
        <w:jc w:val="left"/>
        <w:rPr>
          <w:u w:val="none"/>
        </w:rPr>
      </w:pPr>
      <w:r>
        <w:rPr/>
        <w:t>Pokud to umožňují okolnosti, vyžadujeme fyzickou účast členů Smečky minimálně během osmi hlavních svátků Kola roku.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76" w:beforeAutospacing="0" w:before="0" w:afterAutospacing="0" w:after="0"/>
        <w:ind w:left="720" w:right="0" w:hanging="360"/>
        <w:jc w:val="left"/>
        <w:rPr>
          <w:u w:val="none"/>
        </w:rPr>
      </w:pPr>
      <w:r>
        <w:rPr/>
        <w:t>Hlavními svátky Kola roku jsou: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Samhain - Začátek liturgického roku  a třetí oslava mystérií sklizně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Yule - Zimní slunovrat a začátek tzv. Dvanácti posvátných dní chaosu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Imbolc - první stopy Ohně v zemi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Ostara - Oslava Dís a probouzení Ohně v zemi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Beltine - oslava setkání primordiálních sil Muspelheimu a Nifelheimu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Letní slunovrat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Lughnasad - První oslava mystérií sklizně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1414" w:leader="none"/>
        </w:tabs>
        <w:spacing w:lineRule="auto" w:line="276" w:before="0" w:afterAutospacing="0" w:after="0"/>
        <w:ind w:left="1440" w:hanging="360"/>
        <w:rPr>
          <w:color w:val="72888A"/>
          <w:sz w:val="21"/>
          <w:szCs w:val="21"/>
        </w:rPr>
      </w:pPr>
      <w:r>
        <w:rPr>
          <w:sz w:val="21"/>
          <w:szCs w:val="21"/>
        </w:rPr>
        <w:t>Mabon -  Druhá oslava mystérií sklizně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76" w:beforeAutospacing="0" w:before="0" w:afterAutospacing="0" w:after="0"/>
        <w:ind w:left="72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Vedlejší svátky jsou: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Autospacing="0" w:after="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Oslavy Runového kola roku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Autospacing="0" w:after="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Nový lunární rok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Autospacing="0" w:after="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Den bojovníků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Autospacing="0" w:after="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Slavnost Bouře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Autospacing="0" w:after="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Odinova mystéria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76" w:beforeAutospacing="0" w:before="0" w:after="40"/>
        <w:ind w:left="1440" w:right="0" w:hanging="360"/>
        <w:jc w:val="left"/>
        <w:rPr>
          <w:sz w:val="21"/>
          <w:szCs w:val="21"/>
          <w:u w:val="none"/>
        </w:rPr>
      </w:pPr>
      <w:r>
        <w:rPr>
          <w:sz w:val="21"/>
          <w:szCs w:val="21"/>
        </w:rPr>
        <w:t>Začátek Zimní slavnosti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3</Pages>
  <Words>376</Words>
  <Characters>1802</Characters>
  <CharactersWithSpaces>2099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